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унитарное предприятие «Жилищно-коммунальный сервис» в </w:t>
      </w:r>
      <w:proofErr w:type="gram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758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02EF6">
        <w:rPr>
          <w:rFonts w:ascii="Times New Roman" w:hAnsi="Times New Roman" w:cs="Times New Roman"/>
          <w:sz w:val="24"/>
          <w:szCs w:val="24"/>
        </w:rPr>
        <w:t>30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02EF6">
        <w:rPr>
          <w:rFonts w:ascii="Times New Roman" w:hAnsi="Times New Roman" w:cs="Times New Roman"/>
          <w:sz w:val="24"/>
          <w:szCs w:val="24"/>
        </w:rPr>
        <w:t>9-й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A4BC1">
        <w:rPr>
          <w:rFonts w:ascii="Times New Roman" w:hAnsi="Times New Roman" w:cs="Times New Roman"/>
          <w:sz w:val="24"/>
          <w:szCs w:val="24"/>
        </w:rPr>
        <w:t>1085,6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bookmarkStart w:id="0" w:name="_GoBack"/>
      <w:bookmarkEnd w:id="0"/>
      <w:r w:rsidR="00CA4BC1">
        <w:rPr>
          <w:rFonts w:ascii="Times New Roman" w:hAnsi="Times New Roman" w:cs="Times New Roman"/>
          <w:sz w:val="24"/>
          <w:szCs w:val="24"/>
        </w:rPr>
        <w:t>5970,4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54BD3"/>
    <w:rsid w:val="003B40B1"/>
    <w:rsid w:val="00425FC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Гость</cp:lastModifiedBy>
  <cp:revision>4</cp:revision>
  <dcterms:created xsi:type="dcterms:W3CDTF">2022-04-29T21:19:00Z</dcterms:created>
  <dcterms:modified xsi:type="dcterms:W3CDTF">2022-04-29T21:23:00Z</dcterms:modified>
</cp:coreProperties>
</file>